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w:t>
      </w:r>
      <w:r>
        <w:rPr>
          <w:rFonts w:hint="eastAsia" w:ascii="仿宋_GB2312" w:hAnsi="仿宋_GB2312" w:cs="仿宋_GB2312"/>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b/>
          <w:bCs/>
          <w:sz w:val="44"/>
          <w:szCs w:val="44"/>
        </w:rPr>
      </w:pPr>
      <w:r>
        <w:rPr>
          <w:rFonts w:hint="eastAsia" w:ascii="方正小标宋简体" w:hAnsi="黑体" w:eastAsia="方正小标宋简体"/>
          <w:b/>
          <w:bCs/>
          <w:sz w:val="44"/>
          <w:szCs w:val="44"/>
        </w:rPr>
        <w:t>华东交通大学乘用非公共交通工具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sz w:val="24"/>
          <w:szCs w:val="24"/>
        </w:rPr>
      </w:pPr>
      <w:r>
        <w:rPr>
          <w:rFonts w:hint="eastAsia" w:ascii="方正小标宋简体" w:hAnsi="黑体" w:eastAsia="方正小标宋简体"/>
          <w:b/>
          <w:bCs/>
          <w:sz w:val="44"/>
          <w:szCs w:val="44"/>
        </w:rPr>
        <w:t>公务出行申请表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rPr>
      </w:pPr>
      <w:bookmarkStart w:id="0" w:name="_GoBack"/>
      <w:bookmarkEnd w:id="0"/>
    </w:p>
    <w:p>
      <w:pPr>
        <w:keepNext w:val="0"/>
        <w:keepLines w:val="0"/>
        <w:pageBreakBefore w:val="0"/>
        <w:widowControl w:val="0"/>
        <w:tabs>
          <w:tab w:val="left" w:pos="5451"/>
        </w:tabs>
        <w:kinsoku/>
        <w:wordWrap/>
        <w:overflowPunct/>
        <w:topLinePunct w:val="0"/>
        <w:autoSpaceDE/>
        <w:autoSpaceDN/>
        <w:bidi w:val="0"/>
        <w:adjustRightInd/>
        <w:snapToGrid/>
        <w:spacing w:line="600" w:lineRule="exact"/>
        <w:jc w:val="left"/>
        <w:textAlignment w:val="auto"/>
        <w:rPr>
          <w:rFonts w:hint="eastAsia" w:ascii="仿宋_GB2312" w:hAnsi="黑体" w:eastAsia="仿宋_GB2312"/>
          <w:sz w:val="32"/>
          <w:szCs w:val="32"/>
          <w:lang w:eastAsia="zh-CN"/>
        </w:rPr>
      </w:pPr>
      <w:r>
        <w:rPr>
          <w:rFonts w:hint="eastAsia" w:ascii="仿宋_GB2312" w:hAnsi="仿宋" w:eastAsia="仿宋_GB2312"/>
          <w:sz w:val="32"/>
          <w:szCs w:val="32"/>
        </w:rPr>
        <w:t>申请</w:t>
      </w:r>
      <w:r>
        <w:rPr>
          <w:rFonts w:hint="eastAsia" w:ascii="仿宋_GB2312" w:hAnsi="仿宋" w:eastAsia="仿宋_GB2312"/>
          <w:sz w:val="32"/>
          <w:szCs w:val="32"/>
          <w:lang w:eastAsia="zh-CN"/>
        </w:rPr>
        <w:t>学院</w:t>
      </w:r>
      <w:r>
        <w:rPr>
          <w:rFonts w:hint="eastAsia" w:ascii="仿宋_GB2312" w:hAnsi="仿宋" w:eastAsia="仿宋_GB2312"/>
          <w:sz w:val="32"/>
          <w:szCs w:val="32"/>
        </w:rPr>
        <w:t>（部门）：</w:t>
      </w:r>
      <w:r>
        <w:rPr>
          <w:rFonts w:hint="eastAsia" w:ascii="仿宋_GB2312" w:hAnsi="仿宋" w:eastAsia="仿宋_GB2312"/>
          <w:sz w:val="32"/>
          <w:szCs w:val="32"/>
          <w:lang w:eastAsia="zh-CN"/>
        </w:rPr>
        <w:tab/>
      </w:r>
    </w:p>
    <w:tbl>
      <w:tblPr>
        <w:tblStyle w:val="6"/>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00"/>
        <w:gridCol w:w="2123"/>
        <w:gridCol w:w="1523"/>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9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经办人</w:t>
            </w:r>
          </w:p>
        </w:tc>
        <w:tc>
          <w:tcPr>
            <w:tcW w:w="1200" w:type="dxa"/>
            <w:tcBorders>
              <w:top w:val="single" w:color="auto" w:sz="4" w:space="0"/>
              <w:left w:val="single" w:color="auto" w:sz="4" w:space="0"/>
              <w:right w:val="single" w:color="auto" w:sz="4" w:space="0"/>
            </w:tcBorders>
            <w:noWrap w:val="0"/>
            <w:vAlign w:val="center"/>
          </w:tcPr>
          <w:p>
            <w:pPr>
              <w:keepNext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eastAsia="zh-CN"/>
              </w:rPr>
              <w:t>工资</w:t>
            </w:r>
          </w:p>
          <w:p>
            <w:pPr>
              <w:keepNext w:val="0"/>
              <w:pageBreakBefore w:val="0"/>
              <w:widowControl w:val="0"/>
              <w:kinsoku/>
              <w:wordWrap/>
              <w:overflowPunct/>
              <w:topLinePunct w:val="0"/>
              <w:autoSpaceDE/>
              <w:autoSpaceDN/>
              <w:bidi w:val="0"/>
              <w:adjustRightInd/>
              <w:snapToGrid/>
              <w:jc w:val="center"/>
              <w:textAlignment w:val="auto"/>
              <w:rPr>
                <w:rFonts w:ascii="仿宋_GB2312" w:hAnsi="仿宋" w:eastAsia="仿宋_GB2312"/>
                <w:szCs w:val="32"/>
              </w:rPr>
            </w:pPr>
            <w:r>
              <w:rPr>
                <w:rFonts w:hint="eastAsia"/>
                <w:lang w:eastAsia="zh-CN"/>
              </w:rPr>
              <w:t>编号</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c>
          <w:tcPr>
            <w:tcW w:w="15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申请时间</w:t>
            </w:r>
          </w:p>
        </w:tc>
        <w:tc>
          <w:tcPr>
            <w:tcW w:w="264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79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 w:eastAsia="仿宋_GB2312"/>
                <w:sz w:val="32"/>
                <w:szCs w:val="32"/>
              </w:rPr>
            </w:pPr>
          </w:p>
        </w:tc>
        <w:tc>
          <w:tcPr>
            <w:tcW w:w="120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姓名</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lang w:eastAsia="zh-CN"/>
              </w:rPr>
            </w:pPr>
          </w:p>
        </w:tc>
        <w:tc>
          <w:tcPr>
            <w:tcW w:w="152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出行人数</w:t>
            </w:r>
          </w:p>
        </w:tc>
        <w:tc>
          <w:tcPr>
            <w:tcW w:w="264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出行时间</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出行地点</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出行人名单</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事由</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出行方式</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9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出行公里数</w:t>
            </w:r>
          </w:p>
        </w:tc>
        <w:tc>
          <w:tcPr>
            <w:tcW w:w="62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82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学院</w:t>
            </w:r>
            <w:r>
              <w:rPr>
                <w:rFonts w:hint="eastAsia" w:ascii="仿宋_GB2312" w:hAnsi="仿宋" w:eastAsia="仿宋_GB2312"/>
                <w:sz w:val="32"/>
                <w:szCs w:val="32"/>
              </w:rPr>
              <w:t>（部门）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 w:eastAsia="仿宋_GB2312"/>
                <w:sz w:val="32"/>
                <w:szCs w:val="32"/>
              </w:rPr>
            </w:pPr>
            <w:r>
              <w:rPr>
                <w:rFonts w:hint="eastAsia" w:ascii="仿宋_GB2312" w:hAnsi="仿宋" w:eastAsia="仿宋_GB2312"/>
                <w:sz w:val="32"/>
                <w:szCs w:val="32"/>
              </w:rPr>
              <w:t>主要负责人签字：</w:t>
            </w:r>
          </w:p>
        </w:tc>
      </w:tr>
    </w:tbl>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备注：1本表仅用于公务出行乘用非公共交通工具并执行按次按距离包干的方式报销公务交通费用时填写；</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仿宋_GB2312" w:hAnsi="仿宋_GB2312" w:cs="仿宋_GB2312"/>
          <w:b/>
          <w:bCs/>
          <w:sz w:val="32"/>
          <w:szCs w:val="32"/>
          <w:lang w:val="en-US" w:eastAsia="zh-CN"/>
        </w:rPr>
      </w:pPr>
      <w:r>
        <w:rPr>
          <w:rFonts w:hint="eastAsia" w:ascii="仿宋_GB2312" w:hAnsi="仿宋_GB2312" w:eastAsia="仿宋_GB2312" w:cs="仿宋_GB2312"/>
          <w:sz w:val="24"/>
          <w:szCs w:val="24"/>
          <w:lang w:val="en-US" w:eastAsia="zh-CN"/>
        </w:rPr>
        <w:t>2.按次按距离包干公务交通费用报销方式和费用标准按江西省财政厅相关文件规定执行。</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2595245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35pt;margin-top:0pt;height:144pt;width:144pt;mso-position-horizontal-relative:margin;mso-wrap-style:none;z-index:251658240;mso-width-relative:page;mso-height-relative:page;" filled="f" stroked="f" coordsize="21600,21600" o:gfxdata="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19M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UA8HzVAAAACAEAAA8AAAAAAAAA&#10;AQAgAAAAIgAAAGRycy9kb3ducmV2LnhtbFBLAQIUABQAAAAIAIdO4kBe0JkVFAIAABMEAAAOAAAA&#10;AAAAAAEAIAAAACQBAABkcnMvZTJvRG9jLnhtbFBLBQYAAAAABgAGAFkBAACq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6108B"/>
    <w:multiLevelType w:val="multilevel"/>
    <w:tmpl w:val="95F6108B"/>
    <w:lvl w:ilvl="0" w:tentative="0">
      <w:start w:val="1"/>
      <w:numFmt w:val="chineseCounting"/>
      <w:suff w:val="nothing"/>
      <w:lvlText w:val="第%1章  "/>
      <w:lvlJc w:val="left"/>
      <w:pPr>
        <w:tabs>
          <w:tab w:val="left" w:pos="0"/>
        </w:tabs>
        <w:ind w:left="0" w:firstLine="402"/>
      </w:pPr>
      <w:rPr>
        <w:rFonts w:hint="eastAsia" w:ascii="宋体" w:hAnsi="宋体" w:eastAsia="宋体" w:cs="宋体"/>
      </w:rPr>
    </w:lvl>
    <w:lvl w:ilvl="1" w:tentative="0">
      <w:start w:val="1"/>
      <w:numFmt w:val="chineseCounting"/>
      <w:suff w:val="nothing"/>
      <w:lvlText w:val="第%2条  "/>
      <w:lvlJc w:val="left"/>
      <w:pPr>
        <w:ind w:left="0" w:firstLine="402"/>
      </w:pPr>
      <w:rPr>
        <w:rFonts w:hint="eastAsia" w:ascii="宋体" w:hAnsi="宋体" w:eastAsia="仿宋" w:cs="宋体"/>
      </w:rPr>
    </w:lvl>
    <w:lvl w:ilvl="2" w:tentative="0">
      <w:start w:val="1"/>
      <w:numFmt w:val="decimal"/>
      <w:lvlRestart w:val="0"/>
      <w:pStyle w:val="2"/>
      <w:suff w:val="nothing"/>
      <w:lvlText w:val="%3．"/>
      <w:lvlJc w:val="left"/>
      <w:pPr>
        <w:tabs>
          <w:tab w:val="left" w:pos="0"/>
        </w:tabs>
        <w:ind w:left="0" w:firstLine="40"/>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9"/>
    <w:rsid w:val="00162EC1"/>
    <w:rsid w:val="001724A9"/>
    <w:rsid w:val="002E47DA"/>
    <w:rsid w:val="00460067"/>
    <w:rsid w:val="00644BA1"/>
    <w:rsid w:val="009C0E76"/>
    <w:rsid w:val="00A63FC3"/>
    <w:rsid w:val="00AA7AB7"/>
    <w:rsid w:val="00C42B50"/>
    <w:rsid w:val="00DE3B16"/>
    <w:rsid w:val="00EB105E"/>
    <w:rsid w:val="00FD4DB9"/>
    <w:rsid w:val="097E7E32"/>
    <w:rsid w:val="2DD844ED"/>
    <w:rsid w:val="352F5E7C"/>
    <w:rsid w:val="37A47FCE"/>
    <w:rsid w:val="60AF5C2E"/>
    <w:rsid w:val="79DC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center"/>
    </w:pPr>
    <w:rPr>
      <w:rFonts w:eastAsia="仿宋_GB2312" w:asciiTheme="minorAscii" w:hAnsiTheme="minorAscii" w:cstheme="minorBidi"/>
      <w:kern w:val="2"/>
      <w:sz w:val="32"/>
      <w:szCs w:val="24"/>
      <w:lang w:val="en-US" w:eastAsia="zh-CN" w:bidi="ar-SA"/>
    </w:rPr>
  </w:style>
  <w:style w:type="paragraph" w:styleId="2">
    <w:name w:val="heading 3"/>
    <w:basedOn w:val="1"/>
    <w:next w:val="1"/>
    <w:qFormat/>
    <w:uiPriority w:val="0"/>
    <w:pPr>
      <w:keepNext/>
      <w:keepLines/>
      <w:numPr>
        <w:ilvl w:val="2"/>
        <w:numId w:val="1"/>
      </w:numPr>
      <w:spacing w:before="260" w:after="260" w:line="413" w:lineRule="auto"/>
      <w:outlineLvl w:val="2"/>
    </w:pPr>
    <w:rPr>
      <w:b/>
      <w:sz w:val="32"/>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184</Words>
  <Characters>1052</Characters>
  <Lines>8</Lines>
  <Paragraphs>2</Paragraphs>
  <TotalTime>11</TotalTime>
  <ScaleCrop>false</ScaleCrop>
  <LinksUpToDate>false</LinksUpToDate>
  <CharactersWithSpaces>1234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2019-01-16T06:21:00Z</dcterms:created>
  <dc:creator>dzh2</dc:creator>
  <cp:lastModifiedBy>梅梅荡气回肠</cp:lastModifiedBy>
  <cp:lastPrinted>2019-01-20T08:41:00Z</cp:lastPrinted>
  <dcterms:modified xsi:type="dcterms:W3CDTF">2019-01-23T02:07:17Z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